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00" w:type="dxa"/>
        <w:tblCellSpacing w:w="60" w:type="dxa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1F0BFC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1F0BFC" w:rsidRDefault="00B51B5A">
            <w:pPr>
              <w:spacing w:after="0" w:line="240" w:lineRule="auto"/>
            </w:pPr>
            <w:bookmarkStart w:id="0" w:name="_GoBack"/>
            <w:bookmarkEnd w:id="0"/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1F0BFC" w:rsidRDefault="00B51B5A">
            <w:pPr>
              <w:spacing w:after="0" w:line="240" w:lineRule="auto"/>
            </w:pPr>
            <w:r>
              <w:t>17618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1F0BFC" w:rsidRDefault="00B51B5A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1F0BFC" w:rsidRDefault="00B51B5A">
            <w:pPr>
              <w:spacing w:after="0" w:line="240" w:lineRule="auto"/>
            </w:pPr>
            <w:r>
              <w:t>GIMNAZIJA NOVA GRADIŠKA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1F0BFC" w:rsidRDefault="00B51B5A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1F0BFC" w:rsidRDefault="00B51B5A">
            <w:pPr>
              <w:spacing w:after="0" w:line="240" w:lineRule="auto"/>
            </w:pPr>
            <w:r>
              <w:t>31</w:t>
            </w:r>
          </w:p>
        </w:tc>
      </w:tr>
    </w:tbl>
    <w:p w:rsidR="001F0BFC" w:rsidRDefault="00B51B5A">
      <w:r>
        <w:br/>
      </w:r>
    </w:p>
    <w:p w:rsidR="001F0BFC" w:rsidRDefault="00B51B5A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1F0BFC" w:rsidRDefault="00B51B5A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1F0BFC" w:rsidRDefault="00B51B5A">
      <w:pPr>
        <w:spacing w:line="240" w:lineRule="auto"/>
        <w:jc w:val="center"/>
      </w:pPr>
      <w:r>
        <w:rPr>
          <w:b/>
          <w:sz w:val="28"/>
        </w:rPr>
        <w:t>I - XII 2025.</w:t>
      </w:r>
    </w:p>
    <w:p w:rsidR="001F0BFC" w:rsidRDefault="001F0BFC"/>
    <w:p w:rsidR="001F0BFC" w:rsidRDefault="00B51B5A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1F0BFC" w:rsidRDefault="00B51B5A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1.056.615,37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1.149.641,15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108,8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1.078.451,07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1.215.581,82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112,7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1F0BF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21.835,70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65.940,67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302,0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5.066,91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8.209,82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162,0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1F0BF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5.066,91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8.209,82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162,0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1F0BF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1F0BF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26.902,61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74.150,49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275,6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Škola posluje u skladu sa Zakonom o odgoju i obrazovanju u osnovnoj i srednjoj školi, te Statutom škole. Vodi proračunsko računovodstvo temeljem Pravilnika o proračunskom računovodstvu i Računskom planu, a financijske izvještaje sastavlja i predaje u sklad</w:t>
      </w:r>
      <w:r>
        <w:t xml:space="preserve">u s odredbama Pravilnika o financijskom izvještavanju u proračunskom računovodstvu. Škola </w:t>
      </w:r>
      <w:r>
        <w:lastRenderedPageBreak/>
        <w:t>nije u sustavu PDV-a te posluje u sustavu riznice preko jedinstvenog računa osnivača, županijske riznice Brodsko – posavske županije (IBAN: HR5723400091800012004).</w:t>
      </w:r>
    </w:p>
    <w:p w:rsidR="001F0BFC" w:rsidRDefault="00B51B5A">
      <w:r>
        <w:br/>
      </w:r>
    </w:p>
    <w:p w:rsidR="001F0BFC" w:rsidRDefault="00B51B5A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1.056.615,37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1.149.641,15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108,8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Uočeno je povećanje prihoda u odnosu na isto izvještajno razdoblje prethodne godine za 8,8%, a odnosi se na veći priljev sredstava od Ministarstva znanosti i obrazovanja zbog plaća i materijalnih prava zaposlenika te su ostvareni veći Vlastiti prihodi zbog</w:t>
      </w:r>
      <w:r>
        <w:t xml:space="preserve"> većeg broja učenika koji tijekom školskih praznika rade preko učeničkog servisa.</w:t>
      </w:r>
    </w:p>
    <w:p w:rsidR="001F0BFC" w:rsidRDefault="001F0BFC"/>
    <w:p w:rsidR="001F0BFC" w:rsidRDefault="00B51B5A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Pomoći </w:t>
            </w:r>
            <w:r>
              <w:rPr>
                <w:sz w:val="18"/>
              </w:rPr>
              <w:t>iz inozemstva i od subjekata unutar općeg proračuna (šifre 631+632+633+634+635+636+637+638+639)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942.590,96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1.014.576,59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107,6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Povećan priljev sredstava za 7,6 od Ministarstva znanosti i obrazovanja, za razliku od izvještajnog razdoblja za 2024. godinu, zbog povećanog broja zaposlenika te rasta osnovice za obračun plaće u dva navrata tijekom 2025. godine.</w:t>
      </w:r>
    </w:p>
    <w:p w:rsidR="001F0BFC" w:rsidRDefault="001F0BFC"/>
    <w:p w:rsidR="001F0BFC" w:rsidRDefault="00B51B5A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</w:t>
            </w:r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od upravnih i administrativnih pristojbi, pristojbi po posebnim propisima i naknada (šifre </w:t>
            </w:r>
            <w:r>
              <w:rPr>
                <w:sz w:val="18"/>
              </w:rPr>
              <w:t>651+652+653+654)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1.577,26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2.330,00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147,7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Povećanje za 47,7% u odnosu na isto razdoblje prošle godine od prijepisa svjedodžbi te polaganje novca za osiguranje učenika, uz rast cijena osiguranja učenika.</w:t>
      </w:r>
    </w:p>
    <w:p w:rsidR="001F0BFC" w:rsidRDefault="001F0BFC"/>
    <w:p w:rsidR="001F0BFC" w:rsidRDefault="00B51B5A">
      <w:pPr>
        <w:keepNext/>
        <w:spacing w:line="240" w:lineRule="auto"/>
        <w:jc w:val="center"/>
      </w:pPr>
      <w:r>
        <w:rPr>
          <w:sz w:val="28"/>
        </w:rPr>
        <w:lastRenderedPageBreak/>
        <w:t>Bilješka 5.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pruženih usluga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33.975,31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43.031,27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126,7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Povećanje Prihoda od pruženih usluga za 26,7% odnosi se na povećanje priljeva sredstava od Učeničkog servisa te prihod od najma.</w:t>
      </w:r>
    </w:p>
    <w:p w:rsidR="001F0BFC" w:rsidRDefault="001F0BFC"/>
    <w:p w:rsidR="001F0BFC" w:rsidRDefault="00B51B5A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</w:t>
            </w:r>
            <w:r>
              <w:rPr>
                <w:b/>
                <w:sz w:val="18"/>
              </w:rPr>
              <w:t xml:space="preserve">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74.496,42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86.543,29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116,2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Povećanje prihoda iz županije za 16,2% u odnosu na isto razdoblje prošle godine, zbog priznavanja prihoda (za rashode koji se odnose na 12. mjesec 2024. godine).</w:t>
      </w:r>
    </w:p>
    <w:p w:rsidR="001F0BFC" w:rsidRDefault="001F0BFC"/>
    <w:p w:rsidR="001F0BFC" w:rsidRDefault="00B51B5A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</w:t>
            </w:r>
            <w:r>
              <w:rPr>
                <w:b/>
                <w:sz w:val="18"/>
              </w:rPr>
              <w:t>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1.078.451,07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1.215.581,82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112,7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Uočeno je povećanje rashoda poslovanja za 12,7% u odnosu na isto razdoblje prehodne godine. Povećanje rashoda odnosi se na povećanje plaća zaposlenika, zbog izmjene državne osnovice, te porast visine režijskih troškova.</w:t>
      </w:r>
    </w:p>
    <w:p w:rsidR="001F0BFC" w:rsidRDefault="001F0BFC"/>
    <w:p w:rsidR="001F0BFC" w:rsidRDefault="00B51B5A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</w:t>
            </w:r>
            <w:r>
              <w:rPr>
                <w:b/>
                <w:sz w:val="18"/>
              </w:rPr>
              <w:t>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prijevoz, za rad na terenu i odvojeni život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12.742,98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16.255,81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127,6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Povećanje od 27,6% zbog zapošljavanja nekoliko djelatnika iz udaljenijih mjesta stanovanja.</w:t>
      </w:r>
    </w:p>
    <w:p w:rsidR="001F0BFC" w:rsidRDefault="001F0BFC"/>
    <w:p w:rsidR="001F0BFC" w:rsidRDefault="00B51B5A">
      <w:pPr>
        <w:keepNext/>
        <w:spacing w:line="240" w:lineRule="auto"/>
        <w:jc w:val="center"/>
      </w:pPr>
      <w:r>
        <w:rPr>
          <w:sz w:val="28"/>
        </w:rPr>
        <w:lastRenderedPageBreak/>
        <w:t>Bilješka 9.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Zdravstvene i veterinarske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1.359,58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2.880,00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211,8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Povećanje od 111,8% zbog sistematskih pregleda zaposlenika.</w:t>
      </w:r>
    </w:p>
    <w:p w:rsidR="001F0BFC" w:rsidRDefault="001F0BFC"/>
    <w:p w:rsidR="001F0BFC" w:rsidRDefault="00B51B5A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Članarine i norme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155,10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443,1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Povećanje od 343,1% zbog raznih članarina (časopisi, UHSR...).</w:t>
      </w:r>
    </w:p>
    <w:p w:rsidR="001F0BFC" w:rsidRDefault="001F0BFC"/>
    <w:p w:rsidR="001F0BFC" w:rsidRDefault="00B51B5A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razdoblju </w:t>
            </w:r>
            <w:r>
              <w:rPr>
                <w:b/>
                <w:sz w:val="18"/>
              </w:rPr>
              <w:t>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32.362,42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41.223,78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127,4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Povećanje od 27,4% zbog isplata učenicima preko učeničkog servisa. Isplate se vode preko konta 3299.</w:t>
      </w:r>
    </w:p>
    <w:p w:rsidR="001F0BFC" w:rsidRDefault="001F0BFC"/>
    <w:p w:rsidR="001F0BFC" w:rsidRDefault="00B51B5A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1F0BF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21.835,70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65.940,67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302,0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Manjak prihoda poslovanja se iskazuje zbog troška plaće te materijalnih prava za 12. mjesec, za koje isplata ide tek u siječnju. Ukinut je konto 193 Kontinuirani rashodi budućeg poslovanja te se plaća za 12. mjesec knjiži izravno na trošak, a prihod se pri</w:t>
      </w:r>
      <w:r>
        <w:t>znaje tek prilikom isplate.</w:t>
      </w:r>
    </w:p>
    <w:p w:rsidR="001F0BFC" w:rsidRDefault="001F0BFC"/>
    <w:p w:rsidR="001F0BFC" w:rsidRDefault="00B51B5A">
      <w:pPr>
        <w:keepNext/>
        <w:spacing w:line="240" w:lineRule="auto"/>
        <w:jc w:val="center"/>
      </w:pPr>
      <w:r>
        <w:rPr>
          <w:sz w:val="28"/>
        </w:rPr>
        <w:lastRenderedPageBreak/>
        <w:t>Bilješka 13.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Rashodi za nabavu proizvedene dugotrajne imovine (šifre </w:t>
            </w:r>
            <w:r>
              <w:rPr>
                <w:sz w:val="18"/>
              </w:rPr>
              <w:t>421+422+423+424+425+426)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5.066,91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8.209,82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162,0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Uočeno je povećanje za 62% u odnosu na isto razdoblje prošle godine. Povećanje se odnosi na nabavku novog uredskog namještaja (opremanje ureda psihologa), nekoliko školskih klupa, odvlaživači za podrumske prostorije u kojima se održava dio nastave, računal</w:t>
      </w:r>
      <w:r>
        <w:t>a.</w:t>
      </w:r>
    </w:p>
    <w:p w:rsidR="001F0BFC" w:rsidRDefault="001F0BFC"/>
    <w:p w:rsidR="001F0BFC" w:rsidRDefault="00B51B5A">
      <w:pPr>
        <w:keepNext/>
        <w:spacing w:line="240" w:lineRule="auto"/>
        <w:jc w:val="center"/>
      </w:pPr>
      <w:r>
        <w:rPr>
          <w:b/>
          <w:sz w:val="28"/>
        </w:rPr>
        <w:t>Bilanca</w:t>
      </w:r>
    </w:p>
    <w:p w:rsidR="001F0BFC" w:rsidRDefault="00B51B5A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Medicinska i laboratorijska oprema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6.133,45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10.620,95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173,2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Povećanje za 73,2% koje se odnosi na nabavku nekoliko mikroskopa za nastavu biologije.</w:t>
      </w:r>
    </w:p>
    <w:p w:rsidR="001F0BFC" w:rsidRDefault="001F0BFC"/>
    <w:p w:rsidR="001F0BFC" w:rsidRDefault="00B51B5A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Potraživanja za prihode poslovanja (šifre 161 do 163 + 164 do </w:t>
            </w:r>
            <w:r>
              <w:rPr>
                <w:sz w:val="18"/>
              </w:rPr>
              <w:t>168-169)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10.113,83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119.667,91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1183,2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Povećanje od 1083,2% koje se odnosi na drugačije evidentiranje potraživanja za plaću za 12. mjesec.</w:t>
      </w:r>
    </w:p>
    <w:p w:rsidR="001F0BFC" w:rsidRDefault="001F0BFC"/>
    <w:p w:rsidR="001F0BFC" w:rsidRDefault="00B51B5A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12911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Potraživanja za naknade koje se refundiraju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12911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2.416,80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4.407,16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182,4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Povećanje od 82,4% se odnosi na naknade za bolovanje na teret HZZO-a zbog jedne djelatnice koja je na višemjesečnom bolovanju.</w:t>
      </w:r>
    </w:p>
    <w:p w:rsidR="001F0BFC" w:rsidRDefault="001F0BFC"/>
    <w:p w:rsidR="001F0BFC" w:rsidRDefault="00B51B5A">
      <w:pPr>
        <w:keepNext/>
        <w:spacing w:line="240" w:lineRule="auto"/>
        <w:jc w:val="center"/>
      </w:pPr>
      <w:r>
        <w:rPr>
          <w:b/>
          <w:sz w:val="28"/>
        </w:rPr>
        <w:t>Izvještaj o rashodima prema funkcijskoj klasifikaciji</w:t>
      </w:r>
    </w:p>
    <w:p w:rsidR="001F0BFC" w:rsidRDefault="00B51B5A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Obrazovanje (šifre </w:t>
            </w:r>
            <w:r>
              <w:rPr>
                <w:sz w:val="18"/>
              </w:rPr>
              <w:t>091+092+093+094+095+096+097+098)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1.083.517,98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1.223.791,64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112,9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Uočeno je povećanje od 12,9% koje se odnosi na sredstva Ministarstva znanosti i obrazovanja, zbog većeg broja djelatnika kroz godinu (zamjene) te povećanja osnovice za obračun plaće, u dva navrata, tijekom 2025. godine.</w:t>
      </w:r>
    </w:p>
    <w:p w:rsidR="001F0BFC" w:rsidRDefault="001F0BFC"/>
    <w:p w:rsidR="001F0BFC" w:rsidRDefault="00B51B5A">
      <w:pPr>
        <w:keepNext/>
        <w:spacing w:line="240" w:lineRule="auto"/>
        <w:jc w:val="center"/>
      </w:pPr>
      <w:r>
        <w:rPr>
          <w:b/>
          <w:sz w:val="28"/>
        </w:rPr>
        <w:t>Promjene u vrijednosti i obujmu imo</w:t>
      </w:r>
      <w:r>
        <w:rPr>
          <w:b/>
          <w:sz w:val="28"/>
        </w:rPr>
        <w:t>vine i obveza</w:t>
      </w:r>
    </w:p>
    <w:p w:rsidR="001F0BFC" w:rsidRDefault="00B51B5A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povećanja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smanjenja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1F0BF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Neproizvedena dugotrajna imovina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15.024,03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Isknjiženje imovine koja je dotrajala/potrgana te se ne može popraviti.</w:t>
      </w:r>
    </w:p>
    <w:p w:rsidR="001F0BFC" w:rsidRDefault="001F0BFC"/>
    <w:p w:rsidR="001F0BFC" w:rsidRDefault="00B51B5A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:rsidR="001F0BFC" w:rsidRDefault="00B51B5A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1F0BF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obveza na kraju izvještajnog razdoblja (šifre V001+V002-V004) i (šifre V007+V009)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100.159,19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Stanje obveza na kraju izvještajnog razdoblja odnosi se na plaću i materijalna prava za prosinac 2025. godine te svi pristigli računi za prosinac koji, kao plaća i materijalna prava zaposlenika, dospijevaju na plaćanje tek u siječnju 2026. godine.</w:t>
      </w:r>
    </w:p>
    <w:p w:rsidR="001F0BFC" w:rsidRDefault="001F0BFC"/>
    <w:p w:rsidR="001F0BFC" w:rsidRDefault="00B51B5A">
      <w:pPr>
        <w:keepNext/>
        <w:spacing w:line="240" w:lineRule="auto"/>
        <w:jc w:val="center"/>
      </w:pPr>
      <w:r>
        <w:rPr>
          <w:sz w:val="28"/>
        </w:rPr>
        <w:lastRenderedPageBreak/>
        <w:t>Bilješk</w:t>
      </w:r>
      <w:r>
        <w:rPr>
          <w:sz w:val="28"/>
        </w:rPr>
        <w:t>a 20.</w:t>
      </w:r>
    </w:p>
    <w:tbl>
      <w:tblPr>
        <w:tblW w:w="900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1F0B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F0BFC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1F0BF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F0BFC" w:rsidRDefault="00B51B5A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1F0BFC" w:rsidRDefault="001F0BFC">
      <w:pPr>
        <w:spacing w:after="0"/>
      </w:pPr>
    </w:p>
    <w:p w:rsidR="001F0BFC" w:rsidRDefault="00B51B5A">
      <w:r>
        <w:t>Škola nema dospjelih obveza, samo nedospjele obveze koje se odnose na rashode vezane za prosinac 2025. godine.</w:t>
      </w:r>
    </w:p>
    <w:p w:rsidR="001F0BFC" w:rsidRDefault="001F0BFC"/>
    <w:sectPr w:rsidR="001F0B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BFC"/>
    <w:rsid w:val="001F0BFC"/>
    <w:rsid w:val="00B5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1394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Andelka</cp:lastModifiedBy>
  <cp:revision>2</cp:revision>
  <dcterms:created xsi:type="dcterms:W3CDTF">2026-02-10T07:13:00Z</dcterms:created>
  <dcterms:modified xsi:type="dcterms:W3CDTF">2026-02-10T07:13:00Z</dcterms:modified>
</cp:coreProperties>
</file>